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454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93"/>
        <w:gridCol w:w="3055"/>
        <w:gridCol w:w="6095"/>
        <w:gridCol w:w="4111"/>
      </w:tblGrid>
      <w:tr w:rsidR="00763A69" w:rsidRPr="00763A69" w14:paraId="2A518D99" w14:textId="77777777" w:rsidTr="00763A69">
        <w:trPr>
          <w:cantSplit/>
          <w:trHeight w:val="509"/>
        </w:trPr>
        <w:tc>
          <w:tcPr>
            <w:tcW w:w="1193" w:type="dxa"/>
            <w:hideMark/>
          </w:tcPr>
          <w:p w14:paraId="3B84233E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bookmarkStart w:id="0" w:name="_GoBack"/>
            <w:r w:rsidRPr="00763A69">
              <w:rPr>
                <w:b/>
              </w:rPr>
              <w:t>Thema</w:t>
            </w:r>
          </w:p>
        </w:tc>
        <w:tc>
          <w:tcPr>
            <w:tcW w:w="3055" w:type="dxa"/>
            <w:hideMark/>
          </w:tcPr>
          <w:p w14:paraId="5748CFF9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Probleme</w:t>
            </w:r>
          </w:p>
        </w:tc>
        <w:tc>
          <w:tcPr>
            <w:tcW w:w="6095" w:type="dxa"/>
            <w:hideMark/>
          </w:tcPr>
          <w:p w14:paraId="1F5F641E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 xml:space="preserve">gegenwärtige Lösungswege </w:t>
            </w:r>
          </w:p>
        </w:tc>
        <w:tc>
          <w:tcPr>
            <w:tcW w:w="4111" w:type="dxa"/>
          </w:tcPr>
          <w:p w14:paraId="29909284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Zukunftstrends (Ideen der TN)</w:t>
            </w:r>
          </w:p>
        </w:tc>
      </w:tr>
      <w:tr w:rsidR="00763A69" w:rsidRPr="00763A69" w14:paraId="251EF40D" w14:textId="77777777" w:rsidTr="00763A69">
        <w:trPr>
          <w:cantSplit/>
          <w:trHeight w:val="1134"/>
        </w:trPr>
        <w:tc>
          <w:tcPr>
            <w:tcW w:w="1193" w:type="dxa"/>
            <w:hideMark/>
          </w:tcPr>
          <w:p w14:paraId="15B1F08A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Wohnen und Bauen</w:t>
            </w:r>
          </w:p>
        </w:tc>
        <w:tc>
          <w:tcPr>
            <w:tcW w:w="3055" w:type="dxa"/>
            <w:hideMark/>
          </w:tcPr>
          <w:p w14:paraId="66659C52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Hoher Flächen- und Energieverbrauch</w:t>
            </w:r>
          </w:p>
          <w:p w14:paraId="632AECD9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Vereinsamung</w:t>
            </w:r>
          </w:p>
          <w:p w14:paraId="00CD32BA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nicht menschengerechte Stadtplanung</w:t>
            </w:r>
          </w:p>
        </w:tc>
        <w:tc>
          <w:tcPr>
            <w:tcW w:w="6095" w:type="dxa"/>
            <w:hideMark/>
          </w:tcPr>
          <w:p w14:paraId="5B1FC0A4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Geringerer Flächenverbrauch durch multifunktonale Flächennutzung, Mehrfamilien- statt Einfamilienhäusern</w:t>
            </w:r>
          </w:p>
          <w:p w14:paraId="6C2E40D3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Nutzung ökologischerer Baumaterialien </w:t>
            </w:r>
          </w:p>
          <w:p w14:paraId="4579BD83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weniger Neubauten </w:t>
            </w:r>
          </w:p>
          <w:p w14:paraId="6A6822EE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Neue Wohnkonzepte: </w:t>
            </w:r>
          </w:p>
          <w:p w14:paraId="3810E438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gemeinschaftlicheres Wohnen, </w:t>
            </w:r>
          </w:p>
          <w:p w14:paraId="7B10176D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Sharing von Wohn- und Arbeitsräumen</w:t>
            </w:r>
          </w:p>
          <w:p w14:paraId="335F9DB2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mehrere Generationen unter einem Dach </w:t>
            </w:r>
          </w:p>
          <w:p w14:paraId="76317B1F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partizipative Stadtplanung, d.h. Bewohner*innen gestalten mit</w:t>
            </w:r>
          </w:p>
        </w:tc>
        <w:tc>
          <w:tcPr>
            <w:tcW w:w="4111" w:type="dxa"/>
          </w:tcPr>
          <w:p w14:paraId="634D3CB6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…</w:t>
            </w:r>
          </w:p>
        </w:tc>
      </w:tr>
      <w:tr w:rsidR="00763A69" w:rsidRPr="00763A69" w14:paraId="6E3E8644" w14:textId="77777777" w:rsidTr="00763A69">
        <w:trPr>
          <w:cantSplit/>
          <w:trHeight w:val="1134"/>
        </w:trPr>
        <w:tc>
          <w:tcPr>
            <w:tcW w:w="1193" w:type="dxa"/>
            <w:hideMark/>
          </w:tcPr>
          <w:p w14:paraId="2F8559B6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Energie in der Stadt</w:t>
            </w:r>
          </w:p>
        </w:tc>
        <w:tc>
          <w:tcPr>
            <w:tcW w:w="3055" w:type="dxa"/>
            <w:hideMark/>
          </w:tcPr>
          <w:p w14:paraId="29CF5D6E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Klimawandel</w:t>
            </w:r>
          </w:p>
          <w:p w14:paraId="1340154A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Emissionen</w:t>
            </w:r>
          </w:p>
          <w:p w14:paraId="1C7D6092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Unzuverlässigkeit Erneuerbarer Energie</w:t>
            </w:r>
          </w:p>
        </w:tc>
        <w:tc>
          <w:tcPr>
            <w:tcW w:w="6095" w:type="dxa"/>
            <w:hideMark/>
          </w:tcPr>
          <w:p w14:paraId="10EE8CB8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 xml:space="preserve">Photovoltaik auf Dächern in der Stadt </w:t>
            </w:r>
          </w:p>
          <w:p w14:paraId="2A9933DB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Gebäude-Dämmung</w:t>
            </w:r>
          </w:p>
          <w:p w14:paraId="52671733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energetische Sanierung</w:t>
            </w:r>
          </w:p>
          <w:p w14:paraId="57F1D3AC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Sektorenkopplung</w:t>
            </w:r>
          </w:p>
          <w:p w14:paraId="735246A5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Lokales Stromnetz &amp; intelligent vernetzte Quartiere</w:t>
            </w:r>
          </w:p>
          <w:p w14:paraId="366D2DFD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Stromsparen</w:t>
            </w:r>
          </w:p>
        </w:tc>
        <w:tc>
          <w:tcPr>
            <w:tcW w:w="4111" w:type="dxa"/>
          </w:tcPr>
          <w:p w14:paraId="158A1B1B" w14:textId="77777777" w:rsidR="00763A69" w:rsidRPr="00763A69" w:rsidRDefault="00763A69" w:rsidP="00763A69">
            <w:pPr>
              <w:numPr>
                <w:ilvl w:val="0"/>
                <w:numId w:val="2"/>
              </w:numPr>
              <w:spacing w:after="160" w:line="259" w:lineRule="auto"/>
            </w:pPr>
            <w:r w:rsidRPr="00763A69">
              <w:t>…</w:t>
            </w:r>
          </w:p>
        </w:tc>
      </w:tr>
      <w:tr w:rsidR="00763A69" w:rsidRPr="00763A69" w14:paraId="6ECC413B" w14:textId="77777777" w:rsidTr="00763A69">
        <w:trPr>
          <w:cantSplit/>
          <w:trHeight w:val="1134"/>
        </w:trPr>
        <w:tc>
          <w:tcPr>
            <w:tcW w:w="1193" w:type="dxa"/>
            <w:hideMark/>
          </w:tcPr>
          <w:p w14:paraId="6FB1C607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lastRenderedPageBreak/>
              <w:t>Wasser in der Stadt</w:t>
            </w:r>
          </w:p>
        </w:tc>
        <w:tc>
          <w:tcPr>
            <w:tcW w:w="3055" w:type="dxa"/>
            <w:hideMark/>
          </w:tcPr>
          <w:p w14:paraId="1206E6F8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Überschwemmungen</w:t>
            </w:r>
          </w:p>
          <w:p w14:paraId="2DD76547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Trockenheit &amp; Wassermangel</w:t>
            </w:r>
          </w:p>
          <w:p w14:paraId="3B551C93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Verschwendung von Trinkwasser</w:t>
            </w:r>
          </w:p>
          <w:p w14:paraId="4B360DB1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Belastung der Gewässer durch z.B. Mikroplastik und andere Schadstoffe aus der Stadt</w:t>
            </w:r>
          </w:p>
          <w:p w14:paraId="73B8146B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fehlender Lebensraum im und am Wasser</w:t>
            </w:r>
          </w:p>
        </w:tc>
        <w:tc>
          <w:tcPr>
            <w:tcW w:w="6095" w:type="dxa"/>
            <w:hideMark/>
          </w:tcPr>
          <w:p w14:paraId="77F433E5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Möglichst naturnaher Wasserkreislauf in der Stadt</w:t>
            </w:r>
          </w:p>
          <w:p w14:paraId="6E77CF1A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Wasser wird in der Stadt gehalten und im Kreislauf geführt</w:t>
            </w:r>
          </w:p>
          <w:p w14:paraId="0550FC7A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 xml:space="preserve">Renaturierung von Flüssen </w:t>
            </w:r>
          </w:p>
          <w:p w14:paraId="0EF29AAE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 xml:space="preserve">Quartiere werden nach Schwammstadt-Prinzip gebaut </w:t>
            </w:r>
          </w:p>
          <w:p w14:paraId="0C24CE32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Grauwassernutzung (z.B. Toilettenspülung mit Regenwasser)</w:t>
            </w:r>
          </w:p>
          <w:p w14:paraId="7B07047D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nachhaltiger Umgang mit Wasser</w:t>
            </w:r>
          </w:p>
        </w:tc>
        <w:tc>
          <w:tcPr>
            <w:tcW w:w="4111" w:type="dxa"/>
          </w:tcPr>
          <w:p w14:paraId="574435AE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…</w:t>
            </w:r>
          </w:p>
        </w:tc>
      </w:tr>
      <w:tr w:rsidR="00763A69" w:rsidRPr="00763A69" w14:paraId="2A309EEB" w14:textId="77777777" w:rsidTr="00763A69">
        <w:trPr>
          <w:cantSplit/>
          <w:trHeight w:val="1134"/>
        </w:trPr>
        <w:tc>
          <w:tcPr>
            <w:tcW w:w="1193" w:type="dxa"/>
            <w:hideMark/>
          </w:tcPr>
          <w:p w14:paraId="2CEF594A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Grüne Stadt der Zukunft</w:t>
            </w:r>
          </w:p>
        </w:tc>
        <w:tc>
          <w:tcPr>
            <w:tcW w:w="3055" w:type="dxa"/>
            <w:hideMark/>
          </w:tcPr>
          <w:p w14:paraId="7541323D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Fehlende Naherholungsplätze</w:t>
            </w:r>
          </w:p>
          <w:p w14:paraId="61313D80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Hohe Versiegelung</w:t>
            </w:r>
          </w:p>
          <w:p w14:paraId="391154B5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wenig Lebensraum und Artenvielfalt</w:t>
            </w:r>
          </w:p>
        </w:tc>
        <w:tc>
          <w:tcPr>
            <w:tcW w:w="6095" w:type="dxa"/>
            <w:hideMark/>
          </w:tcPr>
          <w:p w14:paraId="68EB6B3C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Stadtbegrünung als Anpassungsmaßnahme an den Klimawandel,</w:t>
            </w:r>
          </w:p>
          <w:p w14:paraId="2A7DC194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Fassadenbegrünung</w:t>
            </w:r>
          </w:p>
          <w:p w14:paraId="35780A02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Dachbegrünung</w:t>
            </w:r>
          </w:p>
          <w:p w14:paraId="5924ADE4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Mehr naturnahe Parkanlagen</w:t>
            </w:r>
          </w:p>
          <w:p w14:paraId="6F2FE263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Naturnahe Gartengestaltung</w:t>
            </w:r>
          </w:p>
          <w:p w14:paraId="1B0CD2A6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Förderung der Biodiversität durch urbanes Grün</w:t>
            </w:r>
          </w:p>
          <w:p w14:paraId="55F9E652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>Blühstreifen für Insekten</w:t>
            </w:r>
          </w:p>
          <w:p w14:paraId="6F05C495" w14:textId="77777777" w:rsidR="00763A69" w:rsidRPr="00763A69" w:rsidRDefault="00763A69" w:rsidP="00763A69">
            <w:pPr>
              <w:numPr>
                <w:ilvl w:val="1"/>
                <w:numId w:val="1"/>
              </w:numPr>
              <w:spacing w:after="160" w:line="259" w:lineRule="auto"/>
            </w:pPr>
            <w:r w:rsidRPr="00763A69">
              <w:t xml:space="preserve">Vogelnistplätze an Hauswänden </w:t>
            </w:r>
          </w:p>
          <w:p w14:paraId="4B537E71" w14:textId="77777777" w:rsidR="00763A69" w:rsidRPr="00763A69" w:rsidRDefault="00763A69" w:rsidP="00763A69">
            <w:pPr>
              <w:numPr>
                <w:ilvl w:val="0"/>
                <w:numId w:val="1"/>
              </w:numPr>
              <w:spacing w:after="160" w:line="259" w:lineRule="auto"/>
            </w:pPr>
            <w:r w:rsidRPr="00763A69">
              <w:t>Zukunftsbäume</w:t>
            </w:r>
          </w:p>
        </w:tc>
        <w:tc>
          <w:tcPr>
            <w:tcW w:w="4111" w:type="dxa"/>
          </w:tcPr>
          <w:p w14:paraId="5D2687B2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…</w:t>
            </w:r>
          </w:p>
        </w:tc>
      </w:tr>
      <w:tr w:rsidR="00763A69" w:rsidRPr="00763A69" w14:paraId="3A39D16B" w14:textId="77777777" w:rsidTr="00763A69">
        <w:trPr>
          <w:cantSplit/>
          <w:trHeight w:val="215"/>
        </w:trPr>
        <w:tc>
          <w:tcPr>
            <w:tcW w:w="1193" w:type="dxa"/>
            <w:hideMark/>
          </w:tcPr>
          <w:p w14:paraId="264D5C63" w14:textId="77777777" w:rsidR="00763A69" w:rsidRPr="00763A69" w:rsidRDefault="00763A69" w:rsidP="00763A69">
            <w:pPr>
              <w:spacing w:after="160" w:line="259" w:lineRule="auto"/>
              <w:rPr>
                <w:b/>
              </w:rPr>
            </w:pPr>
            <w:r w:rsidRPr="00763A69">
              <w:rPr>
                <w:b/>
              </w:rPr>
              <w:t>Mobilität in der Stadt und in die Stadt</w:t>
            </w:r>
          </w:p>
        </w:tc>
        <w:tc>
          <w:tcPr>
            <w:tcW w:w="3055" w:type="dxa"/>
            <w:hideMark/>
          </w:tcPr>
          <w:p w14:paraId="00DE1298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Verkehrschaos, Lärm, Luftschadstoffe, Platzbedarf</w:t>
            </w:r>
          </w:p>
        </w:tc>
        <w:tc>
          <w:tcPr>
            <w:tcW w:w="6095" w:type="dxa"/>
            <w:hideMark/>
          </w:tcPr>
          <w:p w14:paraId="627BEF6A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Mehr und sicherere Fahrradwege</w:t>
            </w:r>
          </w:p>
          <w:p w14:paraId="479C9711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zuverlässiges ÖPNV-Netz</w:t>
            </w:r>
          </w:p>
          <w:p w14:paraId="5D5C3925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Fahrradschnellwege</w:t>
            </w:r>
          </w:p>
          <w:p w14:paraId="360935B5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Autofreie Straßen</w:t>
            </w:r>
          </w:p>
          <w:p w14:paraId="1A5E1E7F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Park and Ride Plätze außerhalb der Stadt</w:t>
            </w:r>
          </w:p>
          <w:p w14:paraId="27C4BB64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Tiefgaragen</w:t>
            </w:r>
          </w:p>
          <w:p w14:paraId="4155A938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Optimierte Ampelschaltung</w:t>
            </w:r>
          </w:p>
        </w:tc>
        <w:tc>
          <w:tcPr>
            <w:tcW w:w="4111" w:type="dxa"/>
          </w:tcPr>
          <w:p w14:paraId="0E49A489" w14:textId="77777777" w:rsidR="00763A69" w:rsidRPr="00763A69" w:rsidRDefault="00763A69" w:rsidP="00763A69">
            <w:pPr>
              <w:numPr>
                <w:ilvl w:val="0"/>
                <w:numId w:val="3"/>
              </w:numPr>
              <w:spacing w:after="160" w:line="259" w:lineRule="auto"/>
            </w:pPr>
            <w:r w:rsidRPr="00763A69">
              <w:t>…</w:t>
            </w:r>
          </w:p>
        </w:tc>
      </w:tr>
      <w:bookmarkEnd w:id="0"/>
    </w:tbl>
    <w:p w14:paraId="3F861605" w14:textId="77777777" w:rsidR="00363949" w:rsidRDefault="00363949" w:rsidP="00763A69"/>
    <w:sectPr w:rsidR="00363949" w:rsidSect="0036394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F6A7A"/>
    <w:multiLevelType w:val="hybridMultilevel"/>
    <w:tmpl w:val="B7E688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C76603"/>
    <w:multiLevelType w:val="hybridMultilevel"/>
    <w:tmpl w:val="3B9E66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E63C88"/>
    <w:multiLevelType w:val="hybridMultilevel"/>
    <w:tmpl w:val="1CFC77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49"/>
    <w:rsid w:val="00363949"/>
    <w:rsid w:val="007067D2"/>
    <w:rsid w:val="0076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ED1F"/>
  <w15:chartTrackingRefBased/>
  <w15:docId w15:val="{7B577B8A-3084-4609-B3D2-1535CA04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39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3949"/>
    <w:pPr>
      <w:spacing w:after="20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3949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1642</Characters>
  <Application>Microsoft Office Word</Application>
  <DocSecurity>0</DocSecurity>
  <Lines>13</Lines>
  <Paragraphs>3</Paragraphs>
  <ScaleCrop>false</ScaleCrop>
  <Company>Deutsche Bundesstiftung Umwelt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a.lang</dc:creator>
  <cp:keywords/>
  <dc:description/>
  <cp:lastModifiedBy>a.lang</cp:lastModifiedBy>
  <cp:revision>3</cp:revision>
  <dcterms:created xsi:type="dcterms:W3CDTF">2022-06-15T14:02:00Z</dcterms:created>
  <dcterms:modified xsi:type="dcterms:W3CDTF">2022-12-22T14:52:00Z</dcterms:modified>
</cp:coreProperties>
</file>