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13" w:rsidRPr="004B6D13" w:rsidRDefault="00046245" w:rsidP="004B6D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de-DE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eastAsia="de-DE"/>
        </w:rPr>
        <w:t>Radfahren und Gesundheit</w:t>
      </w:r>
    </w:p>
    <w:p w:rsidR="004B6D13" w:rsidRDefault="004B6D13" w:rsidP="004B6D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</w:pPr>
      <w:r w:rsidRPr="004B6D13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Radfahren </w:t>
      </w:r>
      <w:r w:rsid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ist eine gute</w:t>
      </w:r>
      <w:r w:rsidRPr="004B6D13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Gesundheitsprävention – ohne viel Aufwand. Laut Weltgesundheitsorganisation WHO lassen sich Zivilisationskrankheiten, wie Übergewicht und Herz-Kreislauf-Erkrankungen effektiv entgegenwirken, wenn man zum Beispiel fünf Mal pro Woche je 30 Minuten Rad fährt – auch aufgeteilt in kürzere Einheiten. Das schaffen die meisten locker durch den Arbeitsweg.</w:t>
      </w:r>
      <w:r>
        <w:rPr>
          <w:rStyle w:val="Funotenzeichen"/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footnoteReference w:id="1"/>
      </w:r>
    </w:p>
    <w:p w:rsidR="004B6D13" w:rsidRPr="002915AB" w:rsidRDefault="004B6D13" w:rsidP="004B6D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e-DE"/>
        </w:rPr>
      </w:pPr>
      <w:r w:rsidRPr="002915AB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de-DE"/>
        </w:rPr>
        <w:t>Auszug aus der Deutschen Nachhaltigkeitsstrategie 2016:</w:t>
      </w:r>
    </w:p>
    <w:p w:rsidR="002915AB" w:rsidRDefault="002915AB" w:rsidP="004B6D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</w:pPr>
      <w:r>
        <w:rPr>
          <w:noProof/>
          <w:lang w:eastAsia="de-DE"/>
        </w:rPr>
        <w:drawing>
          <wp:inline distT="0" distB="0" distL="0" distR="0" wp14:anchorId="65D39433" wp14:editId="00E965BD">
            <wp:extent cx="5097780" cy="2971799"/>
            <wp:effectExtent l="0" t="0" r="762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6623" r="-150" b="50324"/>
                    <a:stretch/>
                  </pic:blipFill>
                  <pic:spPr bwMode="auto">
                    <a:xfrm>
                      <a:off x="0" y="0"/>
                      <a:ext cx="5108613" cy="2978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15AB" w:rsidRPr="002915AB" w:rsidRDefault="002915AB" w:rsidP="002915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</w:pP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Definition des Indikators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br/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Der Indikator gibt den A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nteil der 11 bis 17 jährigen Ju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gendlichen mit Übergewicht und Adipositas an.</w:t>
      </w:r>
    </w:p>
    <w:p w:rsidR="002915AB" w:rsidRPr="002915AB" w:rsidRDefault="002915AB" w:rsidP="002915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</w:pP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Ziel des Indikators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br/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Adipositas bei Jugendlichen gefährdet die altersübliche</w:t>
      </w:r>
      <w:bookmarkStart w:id="0" w:name="_GoBack"/>
      <w:bookmarkEnd w:id="0"/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Entwicklung. Ausgrenzung und sozialer Rückzug sind die Folgen und füh</w:t>
      </w:r>
      <w:r w:rsidR="001875AC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ren zusätzlich sowohl zu gesund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heitlichen als auch zu gesellschaftlichen Problemen. Ein Großteil der bereits adipösen Jugendlichen leidet auch im Erwachsenenalter an Adipositas. Daher soll der Anteil von Jugendl</w:t>
      </w:r>
      <w:r w:rsidR="001875AC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ichen mit Adipositas in Deutsch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land nicht weiter ansteigen.</w:t>
      </w:r>
    </w:p>
    <w:p w:rsidR="002915AB" w:rsidRPr="002915AB" w:rsidRDefault="002915AB" w:rsidP="002915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</w:pP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Inhalt und Entwicklung des Indikators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br/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Der Body </w:t>
      </w:r>
      <w:proofErr w:type="spellStart"/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Mass</w:t>
      </w:r>
      <w:proofErr w:type="spellEnd"/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Index (B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MI) ist ein Richtwert zur Erfas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sung von Übergewicht und Adipositas.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[…]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In den Jahren 2009-2012 wurden 10,0 Prozent der Jugendlichen als adipös eingestuft.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[…] 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In den Jahren 2003-2006 lag der Anteil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der Jugendlichen mit Adipositas bei 8,9 Prozent.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[…] 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Die </w:t>
      </w:r>
      <w:proofErr w:type="spellStart"/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Adipositasquote</w:t>
      </w:r>
      <w:proofErr w:type="spellEnd"/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bei Jugendlichen hat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somit leicht zugenommen.</w:t>
      </w:r>
    </w:p>
    <w:p w:rsidR="002915AB" w:rsidRDefault="002915AB" w:rsidP="002915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</w:pP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Zu den viel diskutierten Einflussfaktoren für Übergewicht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und Adipositas gehören der Sozialstatus, Bildung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der Eltern und der Migrationshintergrund. Je niedriger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der soziale Status, desto häufiger treten Übergewicht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</w:t>
      </w:r>
      <w:r w:rsidRPr="002915AB"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>und Adipositas auf.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/>
        </w:rPr>
        <w:t xml:space="preserve"> […]</w:t>
      </w:r>
    </w:p>
    <w:sectPr w:rsidR="002915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D13" w:rsidRDefault="004B6D13" w:rsidP="004B6D13">
      <w:pPr>
        <w:spacing w:after="0" w:line="240" w:lineRule="auto"/>
      </w:pPr>
      <w:r>
        <w:separator/>
      </w:r>
    </w:p>
  </w:endnote>
  <w:endnote w:type="continuationSeparator" w:id="0">
    <w:p w:rsidR="004B6D13" w:rsidRDefault="004B6D13" w:rsidP="004B6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D13" w:rsidRDefault="004B6D13" w:rsidP="004B6D13">
      <w:pPr>
        <w:spacing w:after="0" w:line="240" w:lineRule="auto"/>
      </w:pPr>
      <w:r>
        <w:separator/>
      </w:r>
    </w:p>
  </w:footnote>
  <w:footnote w:type="continuationSeparator" w:id="0">
    <w:p w:rsidR="004B6D13" w:rsidRDefault="004B6D13" w:rsidP="004B6D13">
      <w:pPr>
        <w:spacing w:after="0" w:line="240" w:lineRule="auto"/>
      </w:pPr>
      <w:r>
        <w:continuationSeparator/>
      </w:r>
    </w:p>
  </w:footnote>
  <w:footnote w:id="1">
    <w:p w:rsidR="004B6D13" w:rsidRDefault="004B6D13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" w:history="1">
        <w:r w:rsidRPr="004B463E">
          <w:rPr>
            <w:rStyle w:val="Hyperlink"/>
          </w:rPr>
          <w:t>https://www.adfc.de/artikel/gute-gruende-fuer-den-arbeitsweg-per-rad/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13"/>
    <w:rsid w:val="00046245"/>
    <w:rsid w:val="001472AF"/>
    <w:rsid w:val="00157100"/>
    <w:rsid w:val="001875AC"/>
    <w:rsid w:val="002915AB"/>
    <w:rsid w:val="004B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4B6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B6D13"/>
    <w:rPr>
      <w:rFonts w:ascii="Times New Roman" w:eastAsia="Times New Roman" w:hAnsi="Times New Roman" w:cs="Times New Roman"/>
      <w:b/>
      <w:bCs/>
      <w:color w:val="auto"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B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B6D1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B6D1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B6D1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B6D1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6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6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4B6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B6D13"/>
    <w:rPr>
      <w:rFonts w:ascii="Times New Roman" w:eastAsia="Times New Roman" w:hAnsi="Times New Roman" w:cs="Times New Roman"/>
      <w:b/>
      <w:bCs/>
      <w:color w:val="auto"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B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B6D1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B6D1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B6D1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B6D13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6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6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dfc.de/artikel/gute-gruende-fuer-den-arbeitsweg-per-rad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0B633-F959-4B86-B2EB-9BBDDA1AA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Kahmann, Birte</dc:creator>
  <cp:lastModifiedBy>Richter-Harder, Nele</cp:lastModifiedBy>
  <cp:revision>3</cp:revision>
  <dcterms:created xsi:type="dcterms:W3CDTF">2018-11-20T15:48:00Z</dcterms:created>
  <dcterms:modified xsi:type="dcterms:W3CDTF">2019-04-25T09:52:00Z</dcterms:modified>
</cp:coreProperties>
</file>